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社会组织年检材料报送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一、社会团体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0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0A0000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法人登记证书副本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eastAsia="zh-CN"/>
        </w:rPr>
        <w:t>（法人登记证书在有效期内的只提供副本原件，如过期需提交正、副本原件）。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0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年12月31日的银行对账单。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、社会团体会费收据领购簿及未审核过的会费票据（未使用完的也须接受检查）。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、行业协会商会制定会费标准，会费的使用、减免、经营性服务性收入及支出、承接政府购买服务等情况。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5、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未完成党政领导干部兼职审批手续的社会组织，提交兼职审批材料完成换届。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、名称不符合规定或业务范围不准确的，需提交变更名称或业务范围的材料。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afterLines="50" w:line="500" w:lineRule="exact"/>
        <w:ind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、上年度年检结论为“基本合格”、“不合格”的整改情况报告。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收到2021年度年检整改通知书或改进意见书的社会团体，要按照整改通知书或改进意见书的要求报送整改报告或改正情况。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00" w:firstLineChars="20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0A0000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、其他应当提交的材料（根据工作需要，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eastAsia="zh-CN"/>
        </w:rPr>
        <w:t>登记机关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可要求社会组织提交有关事项的情况说明或必要的补充材料）。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0A0000" w:fill="FFFFFF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0A0000" w:fill="FFFFFF"/>
          <w:lang w:eastAsia="zh-CN"/>
        </w:rPr>
        <w:t>民办非企业单位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0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1、法人登记证书副本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eastAsia="zh-CN"/>
        </w:rPr>
        <w:t>（法人登记证书在有效期内的只提供副本原件，如过期需提交正、副本原件）。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2、202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年12月31日的银行对账单。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3、未完成党政领导干部兼职审批手续的社会组织，提交兼职审批材料完成换届。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、名称不符合规定或业务范围不准确的，需提交变更名称或业务范围的材料。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afterLines="50" w:line="500" w:lineRule="exact"/>
        <w:ind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、上年度年检结论为“基本合格”、“不合格”的整改情况报告。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收到2021年度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年检整改通知书或改进意见书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的民办非企业单位，要按照整改通知书或改进意见书的要求报送整改报告或改正情况。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、其他应当提交的材料（根据工作需要，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eastAsia="zh-CN"/>
        </w:rPr>
        <w:t>登记机关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可要求社会组织提交有关事项的情况说明或必要的补充材料）。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0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0A0000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、其他应当提交的材料（根据工作需要，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  <w:lang w:eastAsia="zh-CN"/>
        </w:rPr>
        <w:t>登记机关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080000" w:fill="FFFFFF"/>
        </w:rPr>
        <w:t>可要求社会组织提交有关事项的情况说明或必要的补充材料）。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0A0000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UxYzk5NTQ4ZTBlYWM3NTEwZmRjODE1MjNlM2Y3YTMifQ=="/>
  </w:docVars>
  <w:rsids>
    <w:rsidRoot w:val="00000000"/>
    <w:rsid w:val="522545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697</Words>
  <Characters>713</Characters>
  <Lines>0</Lines>
  <Paragraphs>0</Paragraphs>
  <TotalTime>0</TotalTime>
  <ScaleCrop>false</ScaleCrop>
  <LinksUpToDate>false</LinksUpToDate>
  <CharactersWithSpaces>713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2023-01-29T07:16:00Z</dcterms:created>
  <dc:creator>寒冰</dc:creator>
  <cp:lastModifiedBy>甲壳虫</cp:lastModifiedBy>
  <cp:lastPrinted>2023-02-27T06:55:35Z</cp:lastPrinted>
  <dcterms:modified xsi:type="dcterms:W3CDTF">2023-02-27T06:55:48Z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8A18354749154BA89BDF636F62DC2D06</vt:lpwstr>
  </property>
</Properties>
</file>